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C7A5A25"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2672C8">
        <w:t>6</w:t>
      </w:r>
      <w:r w:rsidRPr="00CE0424">
        <w:tab/>
      </w:r>
      <w:r w:rsidR="003909FC" w:rsidRPr="003909FC">
        <w:t>R1-1902905</w:t>
      </w:r>
    </w:p>
    <w:p w14:paraId="5CB13084" w14:textId="51E28F04" w:rsidR="00E33497" w:rsidRPr="00BC6F45" w:rsidRDefault="002672C8" w:rsidP="00E33497">
      <w:pPr>
        <w:pStyle w:val="3GPPHeader"/>
      </w:pPr>
      <w:r w:rsidRPr="002672C8">
        <w:t xml:space="preserve">Athens, Greece, Feb 25th – Mar 1st </w:t>
      </w:r>
      <w:r w:rsidR="00E33497" w:rsidRPr="00BC6F45">
        <w:t>201</w:t>
      </w:r>
      <w:r>
        <w:t>9</w:t>
      </w:r>
    </w:p>
    <w:p w14:paraId="60A5317D" w14:textId="77777777" w:rsidR="00E90E49" w:rsidRPr="00CE0424" w:rsidRDefault="00E90E49" w:rsidP="00357380">
      <w:pPr>
        <w:pStyle w:val="3GPPHeader"/>
      </w:pPr>
    </w:p>
    <w:p w14:paraId="3C6869D1" w14:textId="667FC646" w:rsidR="00E90E49" w:rsidRPr="005747C5" w:rsidRDefault="00E90E49" w:rsidP="00311702">
      <w:pPr>
        <w:pStyle w:val="3GPPHeader"/>
        <w:rPr>
          <w:sz w:val="22"/>
        </w:rPr>
      </w:pPr>
      <w:r w:rsidRPr="005747C5">
        <w:rPr>
          <w:sz w:val="22"/>
        </w:rPr>
        <w:t>Agenda Item:</w:t>
      </w:r>
      <w:r w:rsidRPr="005747C5">
        <w:rPr>
          <w:sz w:val="22"/>
        </w:rPr>
        <w:tab/>
      </w:r>
      <w:r w:rsidR="006500B6" w:rsidRPr="005747C5">
        <w:rPr>
          <w:sz w:val="22"/>
        </w:rPr>
        <w:t>7.</w:t>
      </w:r>
      <w:r w:rsidR="007E1C66" w:rsidRPr="005747C5">
        <w:rPr>
          <w:sz w:val="22"/>
        </w:rPr>
        <w:t>2</w:t>
      </w:r>
      <w:r w:rsidR="006500B6" w:rsidRPr="005747C5">
        <w:rPr>
          <w:sz w:val="22"/>
        </w:rPr>
        <w:t>.</w:t>
      </w:r>
      <w:r w:rsidR="002528CC">
        <w:rPr>
          <w:sz w:val="22"/>
        </w:rPr>
        <w:t>14</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77DA699C" w:rsidR="00E90E49" w:rsidRPr="00CE0424" w:rsidRDefault="003D3C45" w:rsidP="00311702">
      <w:pPr>
        <w:pStyle w:val="3GPPHeader"/>
        <w:rPr>
          <w:sz w:val="22"/>
        </w:rPr>
      </w:pPr>
      <w:r>
        <w:rPr>
          <w:sz w:val="22"/>
        </w:rPr>
        <w:t>Title:</w:t>
      </w:r>
      <w:r w:rsidR="00E90E49" w:rsidRPr="00CE0424">
        <w:rPr>
          <w:sz w:val="22"/>
        </w:rPr>
        <w:tab/>
      </w:r>
      <w:r w:rsidR="006B168D" w:rsidRPr="006B168D">
        <w:rPr>
          <w:sz w:val="22"/>
        </w:rPr>
        <w:t>On UL transmission timing for NTN</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2315D85E" w:rsidR="00477768" w:rsidRPr="003B7388" w:rsidRDefault="00A2268A" w:rsidP="000E5128">
      <w:pPr>
        <w:jc w:val="both"/>
        <w:rPr>
          <w:rFonts w:ascii="Arial" w:hAnsi="Arial"/>
          <w:sz w:val="20"/>
          <w:szCs w:val="20"/>
        </w:rPr>
      </w:pPr>
      <w:r w:rsidRPr="003B7388">
        <w:rPr>
          <w:rFonts w:ascii="Arial" w:hAnsi="Arial"/>
          <w:sz w:val="20"/>
          <w:szCs w:val="20"/>
        </w:rPr>
        <w:t>RAN#80 approved a new SI on solutions evaluation for NR to support Non-Terrestrial Network</w:t>
      </w:r>
      <w:r w:rsidR="00E14837">
        <w:rPr>
          <w:rFonts w:ascii="Arial" w:hAnsi="Arial"/>
          <w:sz w:val="20"/>
          <w:szCs w:val="20"/>
        </w:rPr>
        <w:t>. The latest version of the SID is given in</w:t>
      </w:r>
      <w:r w:rsidR="00B45E11" w:rsidRPr="003B7388">
        <w:rPr>
          <w:rFonts w:ascii="Arial" w:hAnsi="Arial"/>
          <w:sz w:val="20"/>
          <w:szCs w:val="20"/>
        </w:rPr>
        <w:t xml:space="preserve"> [1]</w:t>
      </w:r>
      <w:r w:rsidR="002B626A" w:rsidRPr="003B7388">
        <w:rPr>
          <w:rFonts w:ascii="Arial" w:hAnsi="Arial"/>
          <w:sz w:val="20"/>
          <w:szCs w:val="20"/>
        </w:rPr>
        <w:t>.</w:t>
      </w:r>
      <w:r w:rsidRPr="003B7388">
        <w:rPr>
          <w:rFonts w:ascii="Arial" w:hAnsi="Arial"/>
          <w:sz w:val="20"/>
          <w:szCs w:val="20"/>
        </w:rPr>
        <w:t xml:space="preserve"> The SI has the following </w:t>
      </w:r>
      <w:r w:rsidR="006B168D" w:rsidRPr="003B7388">
        <w:rPr>
          <w:rFonts w:ascii="Arial" w:hAnsi="Arial"/>
          <w:sz w:val="20"/>
          <w:szCs w:val="20"/>
        </w:rPr>
        <w:t xml:space="preserve">RAN1 related </w:t>
      </w:r>
      <w:r w:rsidRPr="003B7388">
        <w:rPr>
          <w:rFonts w:ascii="Arial" w:hAnsi="Arial"/>
          <w:sz w:val="20"/>
          <w:szCs w:val="20"/>
        </w:rPr>
        <w:t>objectives</w:t>
      </w:r>
      <w:r w:rsidR="00B45E11" w:rsidRPr="003B7388">
        <w:rPr>
          <w:rFonts w:ascii="Arial" w:hAnsi="Arial"/>
          <w:sz w:val="20"/>
          <w:szCs w:val="20"/>
        </w:rPr>
        <w:t>. The RAN1 work is scheduled to begin at RAN1#96bis in April 2019.</w:t>
      </w:r>
    </w:p>
    <w:p w14:paraId="7AC1BBE3" w14:textId="77777777" w:rsidR="00A2268A" w:rsidRDefault="00A2268A" w:rsidP="000E5128">
      <w:pPr>
        <w:jc w:val="both"/>
        <w:rPr>
          <w:rFonts w:ascii="Arial" w:hAnsi="Arial"/>
        </w:rPr>
      </w:pP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349EC0CE">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3B7388" w:rsidRDefault="00A2268A" w:rsidP="00A2268A">
                            <w:pPr>
                              <w:rPr>
                                <w:rFonts w:ascii="Arial" w:hAnsi="Arial"/>
                                <w:i/>
                                <w:sz w:val="20"/>
                                <w:szCs w:val="20"/>
                                <w:lang w:eastAsia="x-none"/>
                              </w:rPr>
                            </w:pPr>
                            <w:r w:rsidRPr="003B7388">
                              <w:rPr>
                                <w:rFonts w:ascii="Arial" w:hAnsi="Arial"/>
                                <w:b/>
                                <w:bCs/>
                                <w:i/>
                                <w:iCs/>
                                <w:sz w:val="20"/>
                                <w:szCs w:val="20"/>
                                <w:lang w:eastAsia="x-none"/>
                              </w:rPr>
                              <w:t>Physical layer</w:t>
                            </w:r>
                          </w:p>
                          <w:p w14:paraId="53A0B01F" w14:textId="77777777" w:rsidR="00A2268A" w:rsidRPr="003B7388"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Physical layer control procedures (e.g. CSI feedback, power control)</w:t>
                            </w:r>
                          </w:p>
                          <w:p w14:paraId="25967C27"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Uplink Timing advance/RACH procedure including PRACH sequence/format/message</w:t>
                            </w:r>
                          </w:p>
                          <w:p w14:paraId="54708D01" w14:textId="40DCE814" w:rsidR="00A2268A"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3B7388" w:rsidRDefault="00A2268A" w:rsidP="00A2268A">
                            <w:pPr>
                              <w:rPr>
                                <w:rFonts w:ascii="Arial" w:hAnsi="Arial"/>
                                <w:i/>
                                <w:sz w:val="20"/>
                                <w:szCs w:val="20"/>
                                <w:lang w:eastAsia="x-none"/>
                              </w:rPr>
                            </w:pPr>
                            <w:r w:rsidRPr="003B7388">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B7388"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3B7388" w:rsidRDefault="00A2268A" w:rsidP="00A2268A">
                      <w:pPr>
                        <w:rPr>
                          <w:rFonts w:ascii="Arial" w:hAnsi="Arial"/>
                          <w:i/>
                          <w:sz w:val="20"/>
                          <w:szCs w:val="20"/>
                          <w:lang w:eastAsia="x-none"/>
                        </w:rPr>
                      </w:pPr>
                      <w:r w:rsidRPr="003B7388">
                        <w:rPr>
                          <w:rFonts w:ascii="Arial" w:hAnsi="Arial"/>
                          <w:b/>
                          <w:bCs/>
                          <w:i/>
                          <w:iCs/>
                          <w:sz w:val="20"/>
                          <w:szCs w:val="20"/>
                          <w:lang w:eastAsia="x-none"/>
                        </w:rPr>
                        <w:t>Physical layer</w:t>
                      </w:r>
                    </w:p>
                    <w:p w14:paraId="53A0B01F" w14:textId="77777777" w:rsidR="00A2268A" w:rsidRPr="003B7388"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Physical layer control procedures (e.g. CSI feedback, power control)</w:t>
                      </w:r>
                    </w:p>
                    <w:p w14:paraId="25967C27" w14:textId="77777777" w:rsidR="00CD0448"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Uplink Timing advance/RACH procedure including PRACH sequence/format/message</w:t>
                      </w:r>
                    </w:p>
                    <w:p w14:paraId="54708D01" w14:textId="40DCE814" w:rsidR="00A2268A" w:rsidRPr="003B7388" w:rsidRDefault="007272AE" w:rsidP="00A2268A">
                      <w:pPr>
                        <w:numPr>
                          <w:ilvl w:val="2"/>
                          <w:numId w:val="38"/>
                        </w:numPr>
                        <w:rPr>
                          <w:rFonts w:ascii="Arial" w:hAnsi="Arial"/>
                          <w:i/>
                          <w:sz w:val="20"/>
                          <w:szCs w:val="20"/>
                          <w:lang w:eastAsia="x-none"/>
                        </w:rPr>
                      </w:pPr>
                      <w:r w:rsidRPr="003B7388">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3B7388" w:rsidRDefault="00A2268A" w:rsidP="00A2268A">
                      <w:pPr>
                        <w:rPr>
                          <w:rFonts w:ascii="Arial" w:hAnsi="Arial"/>
                          <w:i/>
                          <w:sz w:val="20"/>
                          <w:szCs w:val="20"/>
                          <w:lang w:eastAsia="x-none"/>
                        </w:rPr>
                      </w:pPr>
                      <w:r w:rsidRPr="003B7388">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B7388" w:rsidRDefault="00A2268A" w:rsidP="00A2268A">
                      <w:pPr>
                        <w:rPr>
                          <w:sz w:val="20"/>
                          <w:szCs w:val="20"/>
                        </w:rPr>
                      </w:pPr>
                    </w:p>
                  </w:txbxContent>
                </v:textbox>
                <w10:anchorlock/>
              </v:shape>
            </w:pict>
          </mc:Fallback>
        </mc:AlternateContent>
      </w:r>
    </w:p>
    <w:p w14:paraId="4E63BDAC" w14:textId="683F6D23" w:rsidR="00A2268A" w:rsidRDefault="00A2268A" w:rsidP="000E5128">
      <w:pPr>
        <w:jc w:val="both"/>
        <w:rPr>
          <w:rFonts w:ascii="Arial" w:hAnsi="Arial"/>
        </w:rPr>
      </w:pPr>
    </w:p>
    <w:p w14:paraId="79925E8F" w14:textId="4957717B" w:rsidR="00976F50" w:rsidRPr="003B7388" w:rsidRDefault="00A2268A" w:rsidP="00976F50">
      <w:pPr>
        <w:jc w:val="both"/>
        <w:rPr>
          <w:rFonts w:ascii="Arial" w:hAnsi="Arial"/>
          <w:sz w:val="20"/>
          <w:szCs w:val="20"/>
        </w:rPr>
      </w:pPr>
      <w:r w:rsidRPr="003B7388">
        <w:rPr>
          <w:rFonts w:ascii="Arial" w:hAnsi="Arial"/>
          <w:sz w:val="20"/>
          <w:szCs w:val="20"/>
        </w:rPr>
        <w:t xml:space="preserve">In this contribution, we provide </w:t>
      </w:r>
      <w:r w:rsidR="00FB7577" w:rsidRPr="003B7388">
        <w:rPr>
          <w:rFonts w:ascii="Arial" w:hAnsi="Arial"/>
          <w:sz w:val="20"/>
          <w:szCs w:val="20"/>
        </w:rPr>
        <w:t>our views on UL transmission timing for NTN</w:t>
      </w:r>
      <w:r w:rsidR="00AE419B" w:rsidRPr="003B7388">
        <w:rPr>
          <w:rFonts w:ascii="Arial" w:hAnsi="Arial"/>
          <w:sz w:val="20"/>
          <w:szCs w:val="20"/>
        </w:rPr>
        <w:t xml:space="preserve"> UEs in connected mode</w:t>
      </w:r>
      <w:r w:rsidR="00FB7577" w:rsidRPr="003B7388">
        <w:rPr>
          <w:rFonts w:ascii="Arial" w:hAnsi="Arial"/>
          <w:sz w:val="20"/>
          <w:szCs w:val="20"/>
        </w:rPr>
        <w:t>.</w:t>
      </w:r>
      <w:bookmarkStart w:id="1" w:name="_Ref178064866"/>
    </w:p>
    <w:p w14:paraId="020415C4" w14:textId="2F340436" w:rsidR="004000E8" w:rsidRDefault="00230D18" w:rsidP="00976F50">
      <w:pPr>
        <w:pStyle w:val="Heading1"/>
        <w:keepNext w:val="0"/>
        <w:keepLines w:val="0"/>
        <w:widowControl w:val="0"/>
        <w:ind w:left="1138" w:hanging="1138"/>
      </w:pPr>
      <w:r>
        <w:t>2</w:t>
      </w:r>
      <w:r>
        <w:tab/>
      </w:r>
      <w:r w:rsidR="004000E8" w:rsidRPr="00CE0424">
        <w:t>Discussion</w:t>
      </w:r>
      <w:bookmarkEnd w:id="1"/>
    </w:p>
    <w:p w14:paraId="03C6BD4D" w14:textId="681CB718" w:rsidR="00A50470" w:rsidRDefault="00537650" w:rsidP="00976F50">
      <w:pPr>
        <w:pStyle w:val="Heading2"/>
        <w:keepNext w:val="0"/>
        <w:keepLines w:val="0"/>
        <w:ind w:left="0" w:firstLine="0"/>
        <w:jc w:val="both"/>
        <w:rPr>
          <w:rFonts w:cs="Arial"/>
          <w:sz w:val="20"/>
          <w:lang w:eastAsia="zh-CN"/>
        </w:rPr>
      </w:pPr>
      <w:r>
        <w:rPr>
          <w:rFonts w:cs="Arial"/>
          <w:sz w:val="20"/>
          <w:lang w:eastAsia="zh-CN"/>
        </w:rPr>
        <w:t>The long propagation delays between the gNB and the UE is one of the physical phenomena that requires careful consideration when adapting NR to accommodate NTN.</w:t>
      </w:r>
      <w:r w:rsidR="00CD48FA">
        <w:rPr>
          <w:rFonts w:cs="Arial"/>
          <w:sz w:val="20"/>
          <w:lang w:eastAsia="zh-CN"/>
        </w:rPr>
        <w:t xml:space="preserve">  The one-way delay between the UE and the gNB depends on various factors such as the type of satellite (GEO, LEO, MEO, etc.), the elevation angles associated with the UE and gNB, </w:t>
      </w:r>
      <w:r w:rsidR="0006025C">
        <w:rPr>
          <w:rFonts w:cs="Arial"/>
          <w:sz w:val="20"/>
          <w:lang w:eastAsia="zh-CN"/>
        </w:rPr>
        <w:t xml:space="preserve">whether bent pipe or regenerative model is assumed, to name a few.  For the different scenarios considered in </w:t>
      </w:r>
      <w:r w:rsidR="0006025C" w:rsidRPr="0006025C">
        <w:rPr>
          <w:rFonts w:cs="Arial"/>
          <w:sz w:val="20"/>
          <w:lang w:eastAsia="zh-CN"/>
        </w:rPr>
        <w:t>Table</w:t>
      </w:r>
      <w:r w:rsidR="0006025C">
        <w:rPr>
          <w:rFonts w:cs="Arial"/>
          <w:sz w:val="20"/>
          <w:lang w:eastAsia="zh-CN"/>
        </w:rPr>
        <w:t>s</w:t>
      </w:r>
      <w:r w:rsidR="0006025C" w:rsidRPr="0006025C">
        <w:rPr>
          <w:rFonts w:cs="Arial"/>
          <w:sz w:val="20"/>
          <w:lang w:eastAsia="zh-CN"/>
        </w:rPr>
        <w:t xml:space="preserve"> 5.3.2.1-1</w:t>
      </w:r>
      <w:r w:rsidR="0006025C">
        <w:rPr>
          <w:rFonts w:cs="Arial"/>
          <w:sz w:val="20"/>
          <w:lang w:eastAsia="zh-CN"/>
        </w:rPr>
        <w:t xml:space="preserve"> and </w:t>
      </w:r>
      <w:r w:rsidR="0006025C" w:rsidRPr="0006025C">
        <w:rPr>
          <w:rFonts w:cs="Arial"/>
          <w:sz w:val="20"/>
          <w:lang w:eastAsia="zh-CN"/>
        </w:rPr>
        <w:t xml:space="preserve">5.3.4.1-1 </w:t>
      </w:r>
      <w:r w:rsidR="0006025C">
        <w:rPr>
          <w:rFonts w:cs="Arial"/>
          <w:sz w:val="20"/>
          <w:lang w:eastAsia="zh-CN"/>
        </w:rPr>
        <w:t>of TR 38.811[2], the one-way delay can range from ~6ms to ~272ms.</w:t>
      </w:r>
      <w:r w:rsidR="00F509AD">
        <w:rPr>
          <w:rFonts w:cs="Arial"/>
          <w:sz w:val="20"/>
          <w:lang w:eastAsia="zh-CN"/>
        </w:rPr>
        <w:t xml:space="preserve">  </w:t>
      </w:r>
    </w:p>
    <w:p w14:paraId="56C3DE7F" w14:textId="7FE78593" w:rsidR="00B45E11" w:rsidRDefault="00A50470" w:rsidP="00976F50">
      <w:pPr>
        <w:pStyle w:val="Heading2"/>
        <w:keepNext w:val="0"/>
        <w:keepLines w:val="0"/>
        <w:ind w:left="0" w:firstLine="0"/>
        <w:jc w:val="both"/>
        <w:rPr>
          <w:rFonts w:cs="Arial"/>
          <w:sz w:val="20"/>
          <w:lang w:eastAsia="zh-CN"/>
        </w:rPr>
      </w:pPr>
      <w:r w:rsidRPr="00A50470">
        <w:rPr>
          <w:rFonts w:cs="Arial"/>
          <w:sz w:val="20"/>
          <w:lang w:eastAsia="zh-CN"/>
        </w:rPr>
        <w:t>In NR Release 15, the timing relationships of UCI</w:t>
      </w:r>
      <w:r>
        <w:rPr>
          <w:rFonts w:cs="Arial"/>
          <w:sz w:val="20"/>
          <w:lang w:eastAsia="zh-CN"/>
        </w:rPr>
        <w:t xml:space="preserve"> (uplink control information)</w:t>
      </w:r>
      <w:r w:rsidRPr="00A50470">
        <w:rPr>
          <w:rFonts w:cs="Arial"/>
          <w:sz w:val="20"/>
          <w:lang w:eastAsia="zh-CN"/>
        </w:rPr>
        <w:t xml:space="preserve"> transmission in NR PUCCH</w:t>
      </w:r>
      <w:r w:rsidR="004C6C7D">
        <w:rPr>
          <w:rFonts w:cs="Arial"/>
          <w:sz w:val="20"/>
          <w:lang w:eastAsia="zh-CN"/>
        </w:rPr>
        <w:t>/</w:t>
      </w:r>
      <w:r w:rsidRPr="00A50470">
        <w:rPr>
          <w:rFonts w:cs="Arial"/>
          <w:sz w:val="20"/>
          <w:lang w:eastAsia="zh-CN"/>
        </w:rPr>
        <w:t xml:space="preserve">PUSCH and of uplink data transmission in PUSCH are designed to be suitable for terrestrial radio </w:t>
      </w:r>
      <w:r w:rsidRPr="00A50470">
        <w:rPr>
          <w:rFonts w:cs="Arial"/>
          <w:sz w:val="20"/>
          <w:lang w:eastAsia="zh-CN"/>
        </w:rPr>
        <w:lastRenderedPageBreak/>
        <w:t xml:space="preserve">propagation environment where the round-trip delay is usually in the order of 1ms.  </w:t>
      </w:r>
      <w:r w:rsidR="00E274E8">
        <w:rPr>
          <w:rFonts w:cs="Arial"/>
          <w:sz w:val="20"/>
          <w:lang w:eastAsia="zh-CN"/>
        </w:rPr>
        <w:t xml:space="preserve">However, in NTN scenarios, the large propagation delays affect the uplink transmission timing of these physical layer procedures.  Below, we elaborate on </w:t>
      </w:r>
      <w:r w:rsidR="00F509AD">
        <w:rPr>
          <w:rFonts w:cs="Arial"/>
          <w:sz w:val="20"/>
          <w:lang w:eastAsia="zh-CN"/>
        </w:rPr>
        <w:t xml:space="preserve">the uplink transmission timing of </w:t>
      </w:r>
      <w:r w:rsidR="00E274E8">
        <w:rPr>
          <w:rFonts w:cs="Arial"/>
          <w:sz w:val="20"/>
          <w:lang w:eastAsia="zh-CN"/>
        </w:rPr>
        <w:t>UCI and data transmission</w:t>
      </w:r>
      <w:r w:rsidR="00F509AD">
        <w:rPr>
          <w:rFonts w:cs="Arial"/>
          <w:sz w:val="20"/>
          <w:lang w:eastAsia="zh-CN"/>
        </w:rPr>
        <w:t>.</w:t>
      </w:r>
    </w:p>
    <w:p w14:paraId="54058553" w14:textId="32E12912" w:rsidR="00B45E11" w:rsidRDefault="00CE3865" w:rsidP="00AE4D1A">
      <w:pPr>
        <w:pStyle w:val="Heading2"/>
        <w:spacing w:after="120"/>
        <w:ind w:left="1138" w:hanging="1138"/>
      </w:pPr>
      <w:r>
        <w:t xml:space="preserve">2.1 </w:t>
      </w:r>
      <w:r w:rsidR="00577D77">
        <w:t>T</w:t>
      </w:r>
      <w:r w:rsidR="00A67661">
        <w:t>ransmission t</w:t>
      </w:r>
      <w:r w:rsidR="0064289B">
        <w:t xml:space="preserve">iming </w:t>
      </w:r>
      <w:r w:rsidR="00577D77">
        <w:t xml:space="preserve">of HARQ-ACK </w:t>
      </w:r>
      <w:r w:rsidR="0064289B">
        <w:t>on PUCCH</w:t>
      </w:r>
    </w:p>
    <w:p w14:paraId="3B3EF388" w14:textId="7CA3C8C7" w:rsidR="000B1C7D" w:rsidRPr="003B7388" w:rsidRDefault="000B1C7D" w:rsidP="009F759F">
      <w:pPr>
        <w:pStyle w:val="BodyText"/>
        <w:spacing w:after="0"/>
        <w:rPr>
          <w:sz w:val="20"/>
          <w:szCs w:val="20"/>
        </w:rPr>
      </w:pPr>
      <w:r w:rsidRPr="003B7388">
        <w:rPr>
          <w:sz w:val="20"/>
          <w:szCs w:val="20"/>
        </w:rPr>
        <w:t xml:space="preserve">HARQ-ACK is transmitted in PUCCH within slot </w:t>
      </w:r>
      <w:r w:rsidRPr="003B7388">
        <w:rPr>
          <w:noProof/>
          <w:position w:val="-6"/>
          <w:sz w:val="20"/>
          <w:szCs w:val="20"/>
          <w:lang w:eastAsia="en-GB"/>
        </w:rPr>
        <w:drawing>
          <wp:inline distT="0" distB="0" distL="0" distR="0" wp14:anchorId="14B0B558" wp14:editId="5A29BE85">
            <wp:extent cx="320040" cy="19304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Pr="003B7388">
        <w:rPr>
          <w:sz w:val="20"/>
          <w:szCs w:val="20"/>
        </w:rPr>
        <w:t>under one of the following circumstances:</w:t>
      </w:r>
    </w:p>
    <w:p w14:paraId="79116F36" w14:textId="77777777" w:rsidR="000B1C7D" w:rsidRPr="003B7388"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after="0"/>
        <w:ind w:left="835"/>
        <w:rPr>
          <w:sz w:val="20"/>
          <w:szCs w:val="20"/>
        </w:rPr>
      </w:pPr>
      <w:r w:rsidRPr="003B7388">
        <w:rPr>
          <w:sz w:val="20"/>
          <w:szCs w:val="20"/>
        </w:rPr>
        <w:t xml:space="preserve">if the UE detects a DCI (either DCI format 1_0 or DCI format 1_1) that schedules a PDSCH reception in slot </w:t>
      </w:r>
      <w:r w:rsidRPr="003B7388">
        <w:rPr>
          <w:noProof/>
          <w:position w:val="-6"/>
          <w:sz w:val="20"/>
          <w:szCs w:val="20"/>
          <w:lang w:eastAsia="en-GB"/>
        </w:rPr>
        <w:drawing>
          <wp:inline distT="0" distB="0" distL="0" distR="0" wp14:anchorId="0E7ECE15" wp14:editId="31B4C655">
            <wp:extent cx="114300" cy="118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2CE45D69" w14:textId="77777777" w:rsidR="000B1C7D" w:rsidRPr="003B7388"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ind w:left="835"/>
        <w:rPr>
          <w:sz w:val="20"/>
          <w:szCs w:val="20"/>
        </w:rPr>
      </w:pPr>
      <w:r w:rsidRPr="003B7388">
        <w:rPr>
          <w:sz w:val="20"/>
          <w:szCs w:val="20"/>
        </w:rPr>
        <w:t xml:space="preserve">if the UE detects a DCI (DCI format 1_0) that indicates SPS PDSCH release with a PDCCH received in slot </w:t>
      </w:r>
      <w:r w:rsidRPr="003B7388">
        <w:rPr>
          <w:noProof/>
          <w:position w:val="-6"/>
          <w:sz w:val="20"/>
          <w:szCs w:val="20"/>
          <w:lang w:eastAsia="en-GB"/>
        </w:rPr>
        <w:drawing>
          <wp:inline distT="0" distB="0" distL="0" distR="0" wp14:anchorId="7F298863" wp14:editId="7762322D">
            <wp:extent cx="114300" cy="118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425E4032" w14:textId="7122AB83" w:rsidR="003D1297" w:rsidRPr="003B7388" w:rsidRDefault="000B1C7D" w:rsidP="000B1C7D">
      <w:pPr>
        <w:pStyle w:val="BodyText"/>
        <w:rPr>
          <w:sz w:val="20"/>
          <w:szCs w:val="20"/>
        </w:rPr>
      </w:pPr>
      <w:r w:rsidRPr="003B7388">
        <w:rPr>
          <w:sz w:val="20"/>
          <w:szCs w:val="20"/>
        </w:rPr>
        <w:t xml:space="preserve">The value of </w:t>
      </w:r>
      <w:r w:rsidRPr="003B7388">
        <w:rPr>
          <w:noProof/>
          <w:position w:val="-6"/>
          <w:sz w:val="20"/>
          <w:szCs w:val="20"/>
          <w:lang w:eastAsia="en-GB"/>
        </w:rPr>
        <w:drawing>
          <wp:inline distT="0" distB="0" distL="0" distR="0" wp14:anchorId="7F346D5A" wp14:editId="19540C03">
            <wp:extent cx="116840" cy="193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3B7388">
        <w:rPr>
          <w:sz w:val="20"/>
          <w:szCs w:val="20"/>
        </w:rPr>
        <w:t xml:space="preserve"> which is given in a number of slots is indicated by the </w:t>
      </w:r>
      <w:r w:rsidRPr="003B7388">
        <w:rPr>
          <w:i/>
          <w:sz w:val="20"/>
          <w:szCs w:val="20"/>
        </w:rPr>
        <w:t>PDSCH-to-HARQ-timing-indicator</w:t>
      </w:r>
      <w:r w:rsidRPr="003B7388">
        <w:rPr>
          <w:sz w:val="20"/>
          <w:szCs w:val="20"/>
        </w:rPr>
        <w:t xml:space="preserve"> field in DCI (if the field is present) or is provided by the higher layer parameter </w:t>
      </w:r>
      <w:r w:rsidRPr="003B7388">
        <w:rPr>
          <w:i/>
          <w:sz w:val="20"/>
          <w:szCs w:val="20"/>
        </w:rPr>
        <w:t>dl-DataToUL-ACK</w:t>
      </w:r>
      <w:r w:rsidRPr="003B7388">
        <w:rPr>
          <w:sz w:val="20"/>
          <w:szCs w:val="20"/>
        </w:rPr>
        <w:t>.</w:t>
      </w:r>
      <w:r w:rsidR="003D1297" w:rsidRPr="003B7388">
        <w:rPr>
          <w:sz w:val="20"/>
          <w:szCs w:val="20"/>
        </w:rPr>
        <w:t xml:space="preserve">  In the NTN scenarios, however, a HARQ-ACK transmitted by the UE in PUCCH in slot </w:t>
      </w:r>
      <w:r w:rsidR="003D1297" w:rsidRPr="003B7388">
        <w:rPr>
          <w:noProof/>
          <w:position w:val="-6"/>
          <w:sz w:val="20"/>
          <w:szCs w:val="20"/>
          <w:lang w:eastAsia="en-GB"/>
        </w:rPr>
        <w:drawing>
          <wp:inline distT="0" distB="0" distL="0" distR="0" wp14:anchorId="0D5DEF60" wp14:editId="67B4E407">
            <wp:extent cx="320040" cy="1930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003D1297" w:rsidRPr="003B7388">
        <w:rPr>
          <w:sz w:val="20"/>
          <w:szCs w:val="20"/>
        </w:rPr>
        <w:t>will be received by the gNB after a long one-way delay which may range from few tens of ms to a few hundred ms.  Hence, HARQ-ACK transmission timing on PUCCH needs to be studied further in Rel-16.</w:t>
      </w:r>
    </w:p>
    <w:p w14:paraId="69855DDF" w14:textId="6696D94F" w:rsidR="009F3591" w:rsidRDefault="009F3591" w:rsidP="009F3591">
      <w:pPr>
        <w:pStyle w:val="Heading2"/>
      </w:pPr>
      <w:r>
        <w:t xml:space="preserve">2.2 </w:t>
      </w:r>
      <w:r w:rsidR="00577D77">
        <w:t>T</w:t>
      </w:r>
      <w:r>
        <w:t xml:space="preserve">ransmission timing </w:t>
      </w:r>
      <w:r w:rsidR="00577D77">
        <w:t xml:space="preserve">for CSI </w:t>
      </w:r>
      <w:r>
        <w:t>on PU</w:t>
      </w:r>
      <w:r w:rsidR="00072081">
        <w:t>S</w:t>
      </w:r>
      <w:r>
        <w:t>CH</w:t>
      </w:r>
    </w:p>
    <w:p w14:paraId="21570C57" w14:textId="50ED36BA" w:rsidR="008B709D" w:rsidRPr="003B7388" w:rsidRDefault="008B709D" w:rsidP="00367151">
      <w:pPr>
        <w:jc w:val="both"/>
        <w:rPr>
          <w:rFonts w:ascii="Arial" w:hAnsi="Arial"/>
          <w:color w:val="000000"/>
          <w:sz w:val="20"/>
          <w:szCs w:val="20"/>
          <w:highlight w:val="yellow"/>
        </w:rPr>
      </w:pPr>
      <w:r w:rsidRPr="003B7388">
        <w:rPr>
          <w:rFonts w:ascii="Arial" w:hAnsi="Arial"/>
          <w:sz w:val="20"/>
          <w:szCs w:val="20"/>
        </w:rPr>
        <w:t xml:space="preserve">In NR, two configurations for reporting CSI on PUSCH are possible which are aperiodic CSI reporting and semi-persistent CSI reporting on PUSCH.  Both aperiodic CSI and semi-persistent CSI on PUSCH are activated/triggered by DCI, and the allowed slot offset from the activating/triggering DCI are configured by higher layer parameter </w:t>
      </w:r>
      <w:r w:rsidRPr="003B7388">
        <w:rPr>
          <w:rFonts w:ascii="Arial" w:hAnsi="Arial"/>
          <w:i/>
          <w:color w:val="000000"/>
          <w:sz w:val="20"/>
          <w:szCs w:val="20"/>
        </w:rPr>
        <w:t>reportSlotOffsetList</w:t>
      </w:r>
      <w:r w:rsidRPr="003B7388">
        <w:rPr>
          <w:rFonts w:ascii="Arial" w:hAnsi="Arial"/>
          <w:color w:val="000000"/>
          <w:sz w:val="20"/>
          <w:szCs w:val="20"/>
        </w:rPr>
        <w:t xml:space="preserve">.  The range of slot offsets allowed in </w:t>
      </w:r>
      <w:r w:rsidRPr="003B7388">
        <w:rPr>
          <w:rFonts w:ascii="Arial" w:hAnsi="Arial"/>
          <w:i/>
          <w:color w:val="000000"/>
          <w:sz w:val="20"/>
          <w:szCs w:val="20"/>
        </w:rPr>
        <w:t>reportSlotOffsetList</w:t>
      </w:r>
      <w:r w:rsidRPr="003B7388">
        <w:rPr>
          <w:rFonts w:ascii="Arial" w:hAnsi="Arial"/>
          <w:color w:val="000000"/>
          <w:sz w:val="20"/>
          <w:szCs w:val="20"/>
        </w:rPr>
        <w:t xml:space="preserve"> in Release-15 NR is from 0 to 32.  The slot offset </w:t>
      </w:r>
      <m:oMath>
        <m:r>
          <w:rPr>
            <w:rFonts w:ascii="Cambria Math" w:hAnsi="Cambria Math"/>
            <w:sz w:val="20"/>
            <w:szCs w:val="20"/>
          </w:rPr>
          <m:t>K</m:t>
        </m:r>
      </m:oMath>
      <w:r w:rsidR="00AE5F3F" w:rsidRPr="003B7388">
        <w:rPr>
          <w:rFonts w:ascii="Arial" w:hAnsi="Arial"/>
          <w:color w:val="000000"/>
          <w:sz w:val="20"/>
          <w:szCs w:val="20"/>
        </w:rPr>
        <w:t xml:space="preserve"> </w:t>
      </w:r>
      <w:r w:rsidRPr="003B7388">
        <w:rPr>
          <w:rFonts w:ascii="Arial" w:hAnsi="Arial"/>
          <w:color w:val="000000"/>
          <w:sz w:val="20"/>
          <w:szCs w:val="20"/>
        </w:rPr>
        <w:t>is selected by the activating/triggering DCI.</w:t>
      </w:r>
      <w:r w:rsidR="00AE5F3F" w:rsidRPr="003B7388">
        <w:rPr>
          <w:rFonts w:ascii="Arial" w:hAnsi="Arial"/>
          <w:color w:val="000000"/>
          <w:sz w:val="20"/>
          <w:szCs w:val="20"/>
        </w:rPr>
        <w:t xml:space="preserve">  In the NTN scenarios, a UE’s transmission of CSI on PUSCH may not necessarily be received in slot </w:t>
      </w:r>
      <m:oMath>
        <m:r>
          <w:rPr>
            <w:rFonts w:ascii="Cambria Math" w:hAnsi="Cambria Math"/>
            <w:color w:val="000000"/>
            <w:sz w:val="20"/>
            <w:szCs w:val="20"/>
          </w:rPr>
          <m:t>n+</m:t>
        </m:r>
        <m:r>
          <w:rPr>
            <w:rFonts w:ascii="Cambria Math" w:hAnsi="Cambria Math"/>
            <w:sz w:val="20"/>
            <w:szCs w:val="20"/>
          </w:rPr>
          <m:t>K</m:t>
        </m:r>
      </m:oMath>
      <w:r w:rsidR="00AE5F3F" w:rsidRPr="003B7388">
        <w:rPr>
          <w:rFonts w:ascii="Arial" w:hAnsi="Arial"/>
          <w:sz w:val="20"/>
          <w:szCs w:val="20"/>
        </w:rPr>
        <w:t xml:space="preserve"> at the gNB.  </w:t>
      </w:r>
      <w:r w:rsidR="00AE5F3F" w:rsidRPr="003B7388">
        <w:rPr>
          <w:rFonts w:ascii="Arial" w:hAnsi="Arial"/>
          <w:color w:val="000000"/>
          <w:sz w:val="20"/>
          <w:szCs w:val="20"/>
        </w:rPr>
        <w:t>How</w:t>
      </w:r>
      <w:r w:rsidR="00072081" w:rsidRPr="003B7388">
        <w:rPr>
          <w:rFonts w:ascii="Arial" w:hAnsi="Arial"/>
          <w:color w:val="000000"/>
          <w:sz w:val="20"/>
          <w:szCs w:val="20"/>
        </w:rPr>
        <w:t xml:space="preserve"> to define the transmission timing</w:t>
      </w:r>
      <w:r w:rsidR="00367151" w:rsidRPr="003B7388">
        <w:rPr>
          <w:rFonts w:ascii="Arial" w:hAnsi="Arial"/>
          <w:color w:val="000000"/>
          <w:sz w:val="20"/>
          <w:szCs w:val="20"/>
        </w:rPr>
        <w:t xml:space="preserve"> for CSI on PUSCH to take into account </w:t>
      </w:r>
      <w:r w:rsidR="00AE5F3F" w:rsidRPr="003B7388">
        <w:rPr>
          <w:rFonts w:ascii="Arial" w:hAnsi="Arial"/>
          <w:color w:val="000000"/>
          <w:sz w:val="20"/>
          <w:szCs w:val="20"/>
        </w:rPr>
        <w:t xml:space="preserve">the long one-way delay in the NTN scenarios </w:t>
      </w:r>
      <w:r w:rsidR="00367151" w:rsidRPr="003B7388">
        <w:rPr>
          <w:rFonts w:ascii="Arial" w:hAnsi="Arial"/>
          <w:color w:val="000000"/>
          <w:sz w:val="20"/>
          <w:szCs w:val="20"/>
        </w:rPr>
        <w:t>is an open issue that needs to be studied further in Rel-16.</w:t>
      </w:r>
    </w:p>
    <w:p w14:paraId="122632CB" w14:textId="3C01643E" w:rsidR="00E779B4" w:rsidRDefault="00E779B4" w:rsidP="00E779B4">
      <w:pPr>
        <w:pStyle w:val="Heading2"/>
      </w:pPr>
      <w:r>
        <w:t>2.3 Transmission timing for data on PUSCH</w:t>
      </w:r>
    </w:p>
    <w:p w14:paraId="7A2C316B" w14:textId="548FAA93" w:rsidR="00AE4D1A" w:rsidRPr="003B7388" w:rsidRDefault="004A4B95" w:rsidP="007935CC">
      <w:pPr>
        <w:jc w:val="both"/>
        <w:rPr>
          <w:rFonts w:ascii="Arial" w:hAnsi="Arial"/>
          <w:sz w:val="20"/>
          <w:szCs w:val="20"/>
        </w:rPr>
      </w:pPr>
      <w:r w:rsidRPr="003B7388">
        <w:rPr>
          <w:rFonts w:ascii="Arial" w:hAnsi="Arial"/>
          <w:sz w:val="20"/>
          <w:szCs w:val="20"/>
        </w:rPr>
        <w:t xml:space="preserve">Data on </w:t>
      </w:r>
      <w:r w:rsidR="00AE4D1A" w:rsidRPr="003B7388">
        <w:rPr>
          <w:rFonts w:ascii="Arial" w:hAnsi="Arial"/>
          <w:sz w:val="20"/>
          <w:szCs w:val="20"/>
        </w:rPr>
        <w:t xml:space="preserve">PUSCH is scheduled by DCI and the </w:t>
      </w:r>
      <w:r w:rsidRPr="003B7388">
        <w:rPr>
          <w:rFonts w:ascii="Arial" w:hAnsi="Arial"/>
          <w:sz w:val="20"/>
          <w:szCs w:val="20"/>
        </w:rPr>
        <w:t>t</w:t>
      </w:r>
      <w:r w:rsidR="00AE4D1A" w:rsidRPr="003B7388">
        <w:rPr>
          <w:rFonts w:ascii="Arial" w:hAnsi="Arial"/>
          <w:sz w:val="20"/>
          <w:szCs w:val="20"/>
        </w:rPr>
        <w:t xml:space="preserve">ime domain resource assignment field of the DCI provides an index to a table with information on resource allocation in time domain. This information includes, but not limited to, the slot offset </w:t>
      </w:r>
      <w:r w:rsidR="00AE4D1A" w:rsidRPr="003B7388">
        <w:rPr>
          <w:rFonts w:ascii="Arial" w:hAnsi="Arial"/>
          <w:i/>
          <w:sz w:val="20"/>
          <w:szCs w:val="20"/>
        </w:rPr>
        <w:t>K</w:t>
      </w:r>
      <w:r w:rsidR="00AE4D1A" w:rsidRPr="003B7388">
        <w:rPr>
          <w:rFonts w:ascii="Arial" w:hAnsi="Arial"/>
          <w:i/>
          <w:sz w:val="20"/>
          <w:szCs w:val="20"/>
          <w:vertAlign w:val="subscript"/>
        </w:rPr>
        <w:t>2</w:t>
      </w:r>
      <w:r w:rsidR="00AE4D1A" w:rsidRPr="003B7388">
        <w:rPr>
          <w:rFonts w:ascii="Arial" w:hAnsi="Arial"/>
          <w:sz w:val="20"/>
          <w:szCs w:val="20"/>
        </w:rPr>
        <w:t xml:space="preserve">, the start and length indicator SLIV, or directly the start symbol </w:t>
      </w:r>
      <w:r w:rsidR="00AE4D1A" w:rsidRPr="003B7388">
        <w:rPr>
          <w:rFonts w:ascii="Arial" w:hAnsi="Arial"/>
          <w:i/>
          <w:sz w:val="20"/>
          <w:szCs w:val="20"/>
        </w:rPr>
        <w:t>S</w:t>
      </w:r>
      <w:r w:rsidR="00AE4D1A" w:rsidRPr="003B7388">
        <w:rPr>
          <w:rFonts w:ascii="Arial" w:hAnsi="Arial"/>
          <w:sz w:val="20"/>
          <w:szCs w:val="20"/>
        </w:rPr>
        <w:t xml:space="preserve"> and the allocation length </w:t>
      </w:r>
      <w:r w:rsidR="00AE4D1A" w:rsidRPr="003B7388">
        <w:rPr>
          <w:rFonts w:ascii="Arial" w:hAnsi="Arial"/>
          <w:i/>
          <w:sz w:val="20"/>
          <w:szCs w:val="20"/>
        </w:rPr>
        <w:t>L</w:t>
      </w:r>
      <w:r w:rsidR="00AE4D1A" w:rsidRPr="003B7388">
        <w:rPr>
          <w:rFonts w:ascii="Arial" w:hAnsi="Arial"/>
          <w:sz w:val="20"/>
          <w:szCs w:val="20"/>
        </w:rPr>
        <w:t>, and the PUSCH mapping type to be applied in the PUSCH transmission.</w:t>
      </w:r>
      <w:r w:rsidR="007935CC" w:rsidRPr="003B7388">
        <w:rPr>
          <w:rFonts w:ascii="Arial" w:hAnsi="Arial"/>
          <w:sz w:val="20"/>
          <w:szCs w:val="20"/>
        </w:rPr>
        <w:t xml:space="preserve">  </w:t>
      </w:r>
      <w:r w:rsidR="00070E57" w:rsidRPr="003B7388">
        <w:rPr>
          <w:rFonts w:ascii="Arial" w:hAnsi="Arial"/>
          <w:sz w:val="20"/>
          <w:szCs w:val="20"/>
        </w:rPr>
        <w:t xml:space="preserve">The slot where the UE shall transmit the PUSCH is determined by </w:t>
      </w:r>
      <w:r w:rsidR="00070E57" w:rsidRPr="003B7388">
        <w:rPr>
          <w:rFonts w:ascii="Arial" w:hAnsi="Arial"/>
          <w:i/>
          <w:sz w:val="20"/>
          <w:szCs w:val="20"/>
        </w:rPr>
        <w:t>K</w:t>
      </w:r>
      <w:r w:rsidR="00070E57" w:rsidRPr="003B7388">
        <w:rPr>
          <w:rFonts w:ascii="Arial" w:hAnsi="Arial"/>
          <w:i/>
          <w:sz w:val="20"/>
          <w:szCs w:val="20"/>
          <w:vertAlign w:val="subscript"/>
        </w:rPr>
        <w:t>2</w:t>
      </w:r>
      <w:r w:rsidR="00070E57" w:rsidRPr="003B7388">
        <w:rPr>
          <w:rFonts w:ascii="Arial" w:hAnsi="Arial"/>
          <w:sz w:val="20"/>
          <w:szCs w:val="20"/>
        </w:rPr>
        <w:t xml:space="preserve"> as</w:t>
      </w:r>
      <w:r w:rsidR="007935CC" w:rsidRPr="003B7388">
        <w:rPr>
          <w:rFonts w:ascii="Arial" w:hAnsi="Arial"/>
          <w:sz w:val="20"/>
          <w:szCs w:val="20"/>
        </w:rPr>
        <w:t xml:space="preserve">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7935CC" w:rsidRPr="003B7388">
        <w:rPr>
          <w:rFonts w:ascii="Arial" w:hAnsi="Arial"/>
          <w:sz w:val="20"/>
          <w:szCs w:val="20"/>
        </w:rPr>
        <w:t>,</w:t>
      </w:r>
      <w:r w:rsidR="00070E57" w:rsidRPr="003B7388">
        <w:rPr>
          <w:rFonts w:ascii="Arial" w:hAnsi="Arial"/>
          <w:sz w:val="20"/>
          <w:szCs w:val="20"/>
        </w:rPr>
        <w:t xml:space="preserve"> where </w:t>
      </w:r>
      <w:r w:rsidR="00070E57" w:rsidRPr="003B7388">
        <w:rPr>
          <w:rFonts w:ascii="Arial" w:hAnsi="Arial"/>
          <w:i/>
          <w:sz w:val="20"/>
          <w:szCs w:val="20"/>
        </w:rPr>
        <w:t>n</w:t>
      </w:r>
      <w:r w:rsidR="00070E57" w:rsidRPr="003B7388">
        <w:rPr>
          <w:rFonts w:ascii="Arial" w:hAnsi="Arial"/>
          <w:sz w:val="20"/>
          <w:szCs w:val="20"/>
        </w:rPr>
        <w:t xml:space="preserve"> is the slot with the scheduling DCI, </w:t>
      </w:r>
      <w:r w:rsidR="007935CC" w:rsidRPr="003B7388">
        <w:rPr>
          <w:rFonts w:ascii="Arial" w:hAnsi="Arial"/>
          <w:i/>
          <w:sz w:val="20"/>
          <w:szCs w:val="20"/>
        </w:rPr>
        <w:t>K</w:t>
      </w:r>
      <w:r w:rsidR="007935CC" w:rsidRPr="003B7388">
        <w:rPr>
          <w:rFonts w:ascii="Arial" w:hAnsi="Arial"/>
          <w:i/>
          <w:sz w:val="20"/>
          <w:szCs w:val="20"/>
          <w:vertAlign w:val="subscript"/>
        </w:rPr>
        <w:t>2</w:t>
      </w:r>
      <w:r w:rsidR="00070E57" w:rsidRPr="003B7388">
        <w:rPr>
          <w:rFonts w:ascii="Arial" w:hAnsi="Arial"/>
          <w:sz w:val="20"/>
          <w:szCs w:val="20"/>
        </w:rPr>
        <w:t xml:space="preserve"> is based on the numerology of PUSCH,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oMath>
      <w:r w:rsidR="00070E57" w:rsidRPr="003B7388">
        <w:rPr>
          <w:rFonts w:ascii="Arial" w:hAnsi="Arial"/>
          <w:sz w:val="20"/>
          <w:szCs w:val="20"/>
        </w:rPr>
        <w:t xml:space="preserve">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oMath>
      <w:r w:rsidR="007935CC" w:rsidRPr="003B7388">
        <w:rPr>
          <w:rFonts w:ascii="Arial" w:hAnsi="Arial"/>
          <w:sz w:val="20"/>
          <w:szCs w:val="20"/>
        </w:rPr>
        <w:t xml:space="preserve"> </w:t>
      </w:r>
      <w:r w:rsidR="00070E57" w:rsidRPr="003B7388">
        <w:rPr>
          <w:rFonts w:ascii="Arial" w:hAnsi="Arial"/>
          <w:sz w:val="20"/>
          <w:szCs w:val="20"/>
        </w:rPr>
        <w:t>are the subcarrier spacing configurations for PUSCH and PDCCH, respectively.</w:t>
      </w:r>
    </w:p>
    <w:p w14:paraId="58939AD5" w14:textId="091F3811" w:rsidR="00F27054" w:rsidRPr="003B7388" w:rsidRDefault="00DA7C41" w:rsidP="003B7388">
      <w:pPr>
        <w:jc w:val="both"/>
        <w:rPr>
          <w:rFonts w:ascii="Arial" w:hAnsi="Arial"/>
          <w:sz w:val="20"/>
          <w:szCs w:val="20"/>
        </w:rPr>
      </w:pPr>
      <w:r w:rsidRPr="003B7388">
        <w:rPr>
          <w:rFonts w:ascii="Arial" w:hAnsi="Arial"/>
          <w:sz w:val="20"/>
          <w:szCs w:val="20"/>
        </w:rPr>
        <w:t xml:space="preserve">Similar to the problems highlighted in Sections 2.1 and 2.2, a UE’s data transmission on PUSCH may not necessarily be received in slot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3B7388">
        <w:rPr>
          <w:rFonts w:ascii="Arial" w:hAnsi="Arial"/>
          <w:sz w:val="20"/>
          <w:szCs w:val="20"/>
        </w:rPr>
        <w:t xml:space="preserve"> </w:t>
      </w:r>
      <w:r w:rsidR="00F14111" w:rsidRPr="003B7388">
        <w:rPr>
          <w:rFonts w:ascii="Arial" w:hAnsi="Arial"/>
          <w:sz w:val="20"/>
          <w:szCs w:val="20"/>
        </w:rPr>
        <w:t>at the gNB due to the long one-way propagation delay associated with NTN scenarios.  Hence, transmission timing for data on PUSCH needs to be studied further in the Rel-16 NTN SI.</w:t>
      </w:r>
    </w:p>
    <w:p w14:paraId="5300F849" w14:textId="2908F8EA" w:rsidR="00C01F33" w:rsidRPr="003F25C2" w:rsidRDefault="003F25C2" w:rsidP="003F25C2">
      <w:pPr>
        <w:pStyle w:val="Heading1"/>
      </w:pPr>
      <w:r>
        <w:t>3</w:t>
      </w:r>
      <w:r>
        <w:tab/>
      </w:r>
      <w:r w:rsidR="00C01F33" w:rsidRPr="003F25C2">
        <w:t>Conclusion</w:t>
      </w:r>
    </w:p>
    <w:p w14:paraId="3D2C92AC" w14:textId="3B8B8AAF" w:rsidR="00C01F33" w:rsidRPr="003B7388" w:rsidRDefault="00F03DAF" w:rsidP="0053334B">
      <w:pPr>
        <w:pStyle w:val="BodyText"/>
        <w:rPr>
          <w:sz w:val="20"/>
          <w:szCs w:val="20"/>
        </w:rPr>
      </w:pPr>
      <w:r w:rsidRPr="003B7388">
        <w:rPr>
          <w:sz w:val="20"/>
          <w:szCs w:val="20"/>
        </w:rPr>
        <w:t xml:space="preserve">In </w:t>
      </w:r>
      <w:r w:rsidR="00F53681" w:rsidRPr="003B7388">
        <w:rPr>
          <w:sz w:val="20"/>
          <w:szCs w:val="20"/>
        </w:rPr>
        <w:t>this contribution</w:t>
      </w:r>
      <w:r w:rsidR="00C836D8" w:rsidRPr="003B7388">
        <w:rPr>
          <w:sz w:val="20"/>
          <w:szCs w:val="20"/>
        </w:rPr>
        <w:t xml:space="preserve">, </w:t>
      </w:r>
      <w:r w:rsidR="00F53681" w:rsidRPr="003B7388">
        <w:rPr>
          <w:sz w:val="20"/>
          <w:szCs w:val="20"/>
        </w:rPr>
        <w:t>we provide our views on UL transmission timing for NTN UEs in connected mode</w:t>
      </w:r>
      <w:r w:rsidR="0053334B" w:rsidRPr="003B7388">
        <w:rPr>
          <w:sz w:val="20"/>
          <w:szCs w:val="20"/>
        </w:rPr>
        <w:t>.</w:t>
      </w:r>
      <w:r w:rsidR="0096386C" w:rsidRPr="003B7388">
        <w:rPr>
          <w:sz w:val="20"/>
          <w:szCs w:val="20"/>
        </w:rPr>
        <w:t xml:space="preserve">  Based on the discussion in Sections 2.1-2.3, we make the following proposal:</w:t>
      </w:r>
    </w:p>
    <w:p w14:paraId="73542AD8" w14:textId="5203B164" w:rsidR="0096386C" w:rsidRPr="003B7388" w:rsidRDefault="0096386C" w:rsidP="0053334B">
      <w:pPr>
        <w:pStyle w:val="BodyText"/>
        <w:rPr>
          <w:sz w:val="20"/>
          <w:szCs w:val="20"/>
        </w:rPr>
      </w:pPr>
    </w:p>
    <w:p w14:paraId="72B92137" w14:textId="433C3DA8" w:rsidR="0096386C" w:rsidRPr="003B7388" w:rsidRDefault="0096386C" w:rsidP="0053334B">
      <w:pPr>
        <w:pStyle w:val="BodyText"/>
        <w:rPr>
          <w:sz w:val="20"/>
          <w:szCs w:val="20"/>
        </w:rPr>
      </w:pPr>
      <w:r w:rsidRPr="003B7388">
        <w:rPr>
          <w:b/>
          <w:i/>
          <w:sz w:val="20"/>
          <w:szCs w:val="20"/>
        </w:rPr>
        <w:t>Proposal:  Transmission timing of HARQ-ACK on PUCCH, and data/CSI on PUSCH should be studied in the Rel-16 NTN SI.</w:t>
      </w:r>
    </w:p>
    <w:p w14:paraId="3DAF6C98" w14:textId="77777777" w:rsidR="0096386C" w:rsidRPr="0053334B" w:rsidRDefault="0096386C" w:rsidP="0053334B">
      <w:pPr>
        <w:pStyle w:val="BodyText"/>
      </w:pPr>
    </w:p>
    <w:p w14:paraId="7203AEF7" w14:textId="77777777" w:rsidR="00F507D1" w:rsidRPr="00CE0424" w:rsidRDefault="00F507D1" w:rsidP="00CE0424">
      <w:pPr>
        <w:pStyle w:val="Heading1"/>
      </w:pPr>
      <w:bookmarkStart w:id="2" w:name="_In-sequence_SDU_delivery"/>
      <w:bookmarkEnd w:id="2"/>
      <w:r w:rsidRPr="00CE0424">
        <w:lastRenderedPageBreak/>
        <w:t>References</w:t>
      </w:r>
    </w:p>
    <w:p w14:paraId="5F990977" w14:textId="77777777" w:rsidR="00753988" w:rsidRPr="001F5089" w:rsidRDefault="00753988" w:rsidP="00753988">
      <w:pPr>
        <w:pStyle w:val="Reference"/>
        <w:rPr>
          <w:sz w:val="20"/>
          <w:szCs w:val="20"/>
        </w:rPr>
      </w:pPr>
      <w:bookmarkStart w:id="3" w:name="_Ref510504022"/>
      <w:bookmarkStart w:id="4" w:name="_Ref510814820"/>
      <w:bookmarkStart w:id="5" w:name="_Ref174151459"/>
      <w:bookmarkStart w:id="6" w:name="_Ref189809556"/>
      <w:r>
        <w:rPr>
          <w:sz w:val="20"/>
          <w:szCs w:val="20"/>
        </w:rPr>
        <w:t xml:space="preserve">RP-182880, </w:t>
      </w:r>
      <w:r w:rsidRPr="001E30D3">
        <w:rPr>
          <w:sz w:val="20"/>
          <w:szCs w:val="20"/>
        </w:rPr>
        <w:t>Study on solutions for NR to support non-terrestrial networks (NTN)</w:t>
      </w:r>
      <w:r>
        <w:rPr>
          <w:sz w:val="20"/>
          <w:szCs w:val="20"/>
        </w:rPr>
        <w:t>, Thales, RAN #82, Sorrento, Italy, December 2018</w:t>
      </w:r>
    </w:p>
    <w:p w14:paraId="776F3443" w14:textId="1B7A9C79" w:rsidR="005F3025" w:rsidRPr="003B7388" w:rsidRDefault="00715EB1" w:rsidP="000F36A4">
      <w:pPr>
        <w:pStyle w:val="Reference"/>
        <w:rPr>
          <w:sz w:val="20"/>
          <w:szCs w:val="20"/>
        </w:rPr>
      </w:pPr>
      <w:r w:rsidRPr="003B7388">
        <w:rPr>
          <w:sz w:val="20"/>
          <w:szCs w:val="20"/>
        </w:rPr>
        <w:t>3GPP T</w:t>
      </w:r>
      <w:r w:rsidR="000F36A4" w:rsidRPr="003B7388">
        <w:rPr>
          <w:sz w:val="20"/>
          <w:szCs w:val="20"/>
        </w:rPr>
        <w:t>R</w:t>
      </w:r>
      <w:r w:rsidRPr="003B7388">
        <w:rPr>
          <w:sz w:val="20"/>
          <w:szCs w:val="20"/>
        </w:rPr>
        <w:t xml:space="preserve"> 38.</w:t>
      </w:r>
      <w:r w:rsidR="000F36A4" w:rsidRPr="003B7388">
        <w:rPr>
          <w:sz w:val="20"/>
          <w:szCs w:val="20"/>
        </w:rPr>
        <w:t>811</w:t>
      </w:r>
      <w:bookmarkEnd w:id="3"/>
      <w:bookmarkEnd w:id="4"/>
      <w:bookmarkEnd w:id="5"/>
      <w:bookmarkEnd w:id="6"/>
      <w:r w:rsidR="000F36A4" w:rsidRPr="003B7388">
        <w:rPr>
          <w:sz w:val="20"/>
          <w:szCs w:val="20"/>
        </w:rPr>
        <w:t>, Study on New Radio (NR) to support non-terrestrial networks, V15.0.0.</w:t>
      </w:r>
    </w:p>
    <w:sectPr w:rsidR="005F3025" w:rsidRPr="003B738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C0384" w14:textId="77777777" w:rsidR="00AA67CA" w:rsidRDefault="00AA67CA">
      <w:r>
        <w:separator/>
      </w:r>
    </w:p>
  </w:endnote>
  <w:endnote w:type="continuationSeparator" w:id="0">
    <w:p w14:paraId="5DB4F432" w14:textId="77777777" w:rsidR="00AA67CA" w:rsidRDefault="00AA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54050" w14:textId="77777777" w:rsidR="00AA67CA" w:rsidRDefault="00AA67CA">
      <w:r>
        <w:separator/>
      </w:r>
    </w:p>
  </w:footnote>
  <w:footnote w:type="continuationSeparator" w:id="0">
    <w:p w14:paraId="0AC7662F" w14:textId="77777777" w:rsidR="00AA67CA" w:rsidRDefault="00AA6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03103DD"/>
    <w:multiLevelType w:val="hybridMultilevel"/>
    <w:tmpl w:val="CF268E4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5"/>
  </w:num>
  <w:num w:numId="6">
    <w:abstractNumId w:val="24"/>
  </w:num>
  <w:num w:numId="7">
    <w:abstractNumId w:val="35"/>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2"/>
  </w:num>
  <w:num w:numId="16">
    <w:abstractNumId w:val="36"/>
  </w:num>
  <w:num w:numId="17">
    <w:abstractNumId w:val="8"/>
  </w:num>
  <w:num w:numId="18">
    <w:abstractNumId w:val="9"/>
  </w:num>
  <w:num w:numId="19">
    <w:abstractNumId w:val="4"/>
  </w:num>
  <w:num w:numId="20">
    <w:abstractNumId w:val="42"/>
  </w:num>
  <w:num w:numId="21">
    <w:abstractNumId w:val="17"/>
  </w:num>
  <w:num w:numId="22">
    <w:abstractNumId w:val="40"/>
  </w:num>
  <w:num w:numId="23">
    <w:abstractNumId w:val="14"/>
  </w:num>
  <w:num w:numId="24">
    <w:abstractNumId w:val="14"/>
  </w:num>
  <w:num w:numId="25">
    <w:abstractNumId w:val="30"/>
  </w:num>
  <w:num w:numId="26">
    <w:abstractNumId w:val="25"/>
  </w:num>
  <w:num w:numId="27">
    <w:abstractNumId w:val="28"/>
  </w:num>
  <w:num w:numId="28">
    <w:abstractNumId w:val="18"/>
  </w:num>
  <w:num w:numId="29">
    <w:abstractNumId w:val="10"/>
  </w:num>
  <w:num w:numId="30">
    <w:abstractNumId w:val="5"/>
  </w:num>
  <w:num w:numId="31">
    <w:abstractNumId w:val="41"/>
  </w:num>
  <w:num w:numId="32">
    <w:abstractNumId w:val="19"/>
  </w:num>
  <w:num w:numId="33">
    <w:abstractNumId w:val="43"/>
  </w:num>
  <w:num w:numId="34">
    <w:abstractNumId w:val="39"/>
  </w:num>
  <w:num w:numId="35">
    <w:abstractNumId w:val="6"/>
  </w:num>
  <w:num w:numId="36">
    <w:abstractNumId w:val="26"/>
  </w:num>
  <w:num w:numId="37">
    <w:abstractNumId w:val="23"/>
  </w:num>
  <w:num w:numId="38">
    <w:abstractNumId w:val="29"/>
  </w:num>
  <w:num w:numId="39">
    <w:abstractNumId w:val="38"/>
  </w:num>
  <w:num w:numId="40">
    <w:abstractNumId w:val="34"/>
  </w:num>
  <w:num w:numId="41">
    <w:abstractNumId w:val="11"/>
  </w:num>
  <w:num w:numId="42">
    <w:abstractNumId w:val="33"/>
  </w:num>
  <w:num w:numId="43">
    <w:abstractNumId w:val="7"/>
  </w:num>
  <w:num w:numId="44">
    <w:abstractNumId w:val="13"/>
  </w:num>
  <w:num w:numId="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E3"/>
    <w:rsid w:val="00002A37"/>
    <w:rsid w:val="0000564C"/>
    <w:rsid w:val="00006446"/>
    <w:rsid w:val="00006896"/>
    <w:rsid w:val="00007CDC"/>
    <w:rsid w:val="00011B28"/>
    <w:rsid w:val="00015D15"/>
    <w:rsid w:val="0002564D"/>
    <w:rsid w:val="00025ECA"/>
    <w:rsid w:val="000325B8"/>
    <w:rsid w:val="00033A33"/>
    <w:rsid w:val="00034C15"/>
    <w:rsid w:val="000367DD"/>
    <w:rsid w:val="00036BA1"/>
    <w:rsid w:val="000422E2"/>
    <w:rsid w:val="00042F22"/>
    <w:rsid w:val="00043A70"/>
    <w:rsid w:val="000444EF"/>
    <w:rsid w:val="00044C67"/>
    <w:rsid w:val="00052A07"/>
    <w:rsid w:val="000534E3"/>
    <w:rsid w:val="0005606A"/>
    <w:rsid w:val="00057117"/>
    <w:rsid w:val="0006025C"/>
    <w:rsid w:val="000616E7"/>
    <w:rsid w:val="0006487E"/>
    <w:rsid w:val="0006535A"/>
    <w:rsid w:val="00065E1A"/>
    <w:rsid w:val="00070E57"/>
    <w:rsid w:val="00072081"/>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1C7D"/>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158C"/>
    <w:rsid w:val="00132FD0"/>
    <w:rsid w:val="001344C0"/>
    <w:rsid w:val="001346FA"/>
    <w:rsid w:val="00135252"/>
    <w:rsid w:val="00135AF1"/>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6F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0012"/>
    <w:rsid w:val="00241559"/>
    <w:rsid w:val="002435B3"/>
    <w:rsid w:val="002458EB"/>
    <w:rsid w:val="002500C8"/>
    <w:rsid w:val="002528CC"/>
    <w:rsid w:val="00257543"/>
    <w:rsid w:val="002617E7"/>
    <w:rsid w:val="00264228"/>
    <w:rsid w:val="00264334"/>
    <w:rsid w:val="0026473E"/>
    <w:rsid w:val="00266214"/>
    <w:rsid w:val="002672C8"/>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2F52DD"/>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6283C"/>
    <w:rsid w:val="00367151"/>
    <w:rsid w:val="00370169"/>
    <w:rsid w:val="00370E47"/>
    <w:rsid w:val="003742AC"/>
    <w:rsid w:val="00374ABA"/>
    <w:rsid w:val="00377CE1"/>
    <w:rsid w:val="00385BF0"/>
    <w:rsid w:val="0039094C"/>
    <w:rsid w:val="003909FC"/>
    <w:rsid w:val="003939FF"/>
    <w:rsid w:val="003953E4"/>
    <w:rsid w:val="003A2223"/>
    <w:rsid w:val="003A2A0F"/>
    <w:rsid w:val="003A45A1"/>
    <w:rsid w:val="003A4929"/>
    <w:rsid w:val="003A5B0A"/>
    <w:rsid w:val="003A6BAC"/>
    <w:rsid w:val="003A70A4"/>
    <w:rsid w:val="003A7EF3"/>
    <w:rsid w:val="003B159C"/>
    <w:rsid w:val="003B369F"/>
    <w:rsid w:val="003B36A3"/>
    <w:rsid w:val="003B64BB"/>
    <w:rsid w:val="003B7388"/>
    <w:rsid w:val="003B7FE5"/>
    <w:rsid w:val="003C11C8"/>
    <w:rsid w:val="003C2702"/>
    <w:rsid w:val="003C7806"/>
    <w:rsid w:val="003D109F"/>
    <w:rsid w:val="003D1297"/>
    <w:rsid w:val="003D2478"/>
    <w:rsid w:val="003D3C45"/>
    <w:rsid w:val="003D4C48"/>
    <w:rsid w:val="003D5B1F"/>
    <w:rsid w:val="003D737A"/>
    <w:rsid w:val="003E15FA"/>
    <w:rsid w:val="003E55E4"/>
    <w:rsid w:val="003E6476"/>
    <w:rsid w:val="003E67E8"/>
    <w:rsid w:val="003E74E3"/>
    <w:rsid w:val="003F05C7"/>
    <w:rsid w:val="003F25C2"/>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447A"/>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A4B95"/>
    <w:rsid w:val="004B6F6A"/>
    <w:rsid w:val="004B79D1"/>
    <w:rsid w:val="004B7C0C"/>
    <w:rsid w:val="004C23E2"/>
    <w:rsid w:val="004C3898"/>
    <w:rsid w:val="004C6C7D"/>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1720E"/>
    <w:rsid w:val="005219CF"/>
    <w:rsid w:val="00525EBA"/>
    <w:rsid w:val="0053334B"/>
    <w:rsid w:val="005341B3"/>
    <w:rsid w:val="00534B59"/>
    <w:rsid w:val="005360F9"/>
    <w:rsid w:val="00536759"/>
    <w:rsid w:val="00536E0C"/>
    <w:rsid w:val="00537650"/>
    <w:rsid w:val="00537C62"/>
    <w:rsid w:val="00546970"/>
    <w:rsid w:val="00554E19"/>
    <w:rsid w:val="005565C7"/>
    <w:rsid w:val="0056121F"/>
    <w:rsid w:val="00565FFB"/>
    <w:rsid w:val="00566F7D"/>
    <w:rsid w:val="00572505"/>
    <w:rsid w:val="005747C5"/>
    <w:rsid w:val="00577D77"/>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024"/>
    <w:rsid w:val="006234A6"/>
    <w:rsid w:val="00630001"/>
    <w:rsid w:val="006311B3"/>
    <w:rsid w:val="006326F4"/>
    <w:rsid w:val="0063284C"/>
    <w:rsid w:val="00636398"/>
    <w:rsid w:val="006363E9"/>
    <w:rsid w:val="006368D3"/>
    <w:rsid w:val="006377EC"/>
    <w:rsid w:val="0064151F"/>
    <w:rsid w:val="00641533"/>
    <w:rsid w:val="0064208D"/>
    <w:rsid w:val="00642296"/>
    <w:rsid w:val="0064289B"/>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68D"/>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4D8"/>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1B9E"/>
    <w:rsid w:val="0075398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5CC"/>
    <w:rsid w:val="00793CD8"/>
    <w:rsid w:val="00795C92"/>
    <w:rsid w:val="00796231"/>
    <w:rsid w:val="007A1CB3"/>
    <w:rsid w:val="007A306F"/>
    <w:rsid w:val="007A43A6"/>
    <w:rsid w:val="007A4F3E"/>
    <w:rsid w:val="007A58A6"/>
    <w:rsid w:val="007B3D2D"/>
    <w:rsid w:val="007B50AE"/>
    <w:rsid w:val="007B51DF"/>
    <w:rsid w:val="007C05DD"/>
    <w:rsid w:val="007C3930"/>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65CA"/>
    <w:rsid w:val="00827D6F"/>
    <w:rsid w:val="008376AC"/>
    <w:rsid w:val="00843099"/>
    <w:rsid w:val="008444E8"/>
    <w:rsid w:val="00844E80"/>
    <w:rsid w:val="00846FE7"/>
    <w:rsid w:val="008561EE"/>
    <w:rsid w:val="00856911"/>
    <w:rsid w:val="0085765F"/>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09D"/>
    <w:rsid w:val="008B7B5C"/>
    <w:rsid w:val="008C0C99"/>
    <w:rsid w:val="008C2017"/>
    <w:rsid w:val="008C3E1C"/>
    <w:rsid w:val="008C4958"/>
    <w:rsid w:val="008C4BAA"/>
    <w:rsid w:val="008C6AE8"/>
    <w:rsid w:val="008C7573"/>
    <w:rsid w:val="008D00A5"/>
    <w:rsid w:val="008D34F1"/>
    <w:rsid w:val="008D39D8"/>
    <w:rsid w:val="008D5229"/>
    <w:rsid w:val="008D6D1A"/>
    <w:rsid w:val="008E0215"/>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842"/>
    <w:rsid w:val="00945C05"/>
    <w:rsid w:val="00946945"/>
    <w:rsid w:val="00947713"/>
    <w:rsid w:val="00950DE7"/>
    <w:rsid w:val="00953920"/>
    <w:rsid w:val="00953D47"/>
    <w:rsid w:val="00955BFF"/>
    <w:rsid w:val="0095681E"/>
    <w:rsid w:val="009572D4"/>
    <w:rsid w:val="00961921"/>
    <w:rsid w:val="0096386C"/>
    <w:rsid w:val="0096430A"/>
    <w:rsid w:val="0096554B"/>
    <w:rsid w:val="0096584A"/>
    <w:rsid w:val="00971F08"/>
    <w:rsid w:val="0097603D"/>
    <w:rsid w:val="00976949"/>
    <w:rsid w:val="00976F50"/>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591"/>
    <w:rsid w:val="009F759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0470"/>
    <w:rsid w:val="00A529F5"/>
    <w:rsid w:val="00A52E1D"/>
    <w:rsid w:val="00A54296"/>
    <w:rsid w:val="00A61499"/>
    <w:rsid w:val="00A62A77"/>
    <w:rsid w:val="00A62C0F"/>
    <w:rsid w:val="00A63483"/>
    <w:rsid w:val="00A657D7"/>
    <w:rsid w:val="00A660AC"/>
    <w:rsid w:val="00A67661"/>
    <w:rsid w:val="00A67E6C"/>
    <w:rsid w:val="00A71B99"/>
    <w:rsid w:val="00A739D0"/>
    <w:rsid w:val="00A761D4"/>
    <w:rsid w:val="00A77EC4"/>
    <w:rsid w:val="00A92879"/>
    <w:rsid w:val="00A9442A"/>
    <w:rsid w:val="00AA016F"/>
    <w:rsid w:val="00AA05E9"/>
    <w:rsid w:val="00AA06EF"/>
    <w:rsid w:val="00AA1ED6"/>
    <w:rsid w:val="00AA51D6"/>
    <w:rsid w:val="00AA67CA"/>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19B"/>
    <w:rsid w:val="00AE4D1A"/>
    <w:rsid w:val="00AE4DBA"/>
    <w:rsid w:val="00AE4F07"/>
    <w:rsid w:val="00AE5F3F"/>
    <w:rsid w:val="00AF1C5D"/>
    <w:rsid w:val="00AF30B2"/>
    <w:rsid w:val="00AF42D7"/>
    <w:rsid w:val="00B006FE"/>
    <w:rsid w:val="00B007CB"/>
    <w:rsid w:val="00B02609"/>
    <w:rsid w:val="00B02AA9"/>
    <w:rsid w:val="00B02FA3"/>
    <w:rsid w:val="00B039D8"/>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00BD"/>
    <w:rsid w:val="00B739F6"/>
    <w:rsid w:val="00B74756"/>
    <w:rsid w:val="00B81A6C"/>
    <w:rsid w:val="00B85DE5"/>
    <w:rsid w:val="00B90F73"/>
    <w:rsid w:val="00B93B59"/>
    <w:rsid w:val="00B9406A"/>
    <w:rsid w:val="00B97482"/>
    <w:rsid w:val="00B97DC8"/>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45FB"/>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D48FA"/>
    <w:rsid w:val="00CE0424"/>
    <w:rsid w:val="00CE0BF7"/>
    <w:rsid w:val="00CE3865"/>
    <w:rsid w:val="00CE7561"/>
    <w:rsid w:val="00CE7EE4"/>
    <w:rsid w:val="00CF1354"/>
    <w:rsid w:val="00CF3B1F"/>
    <w:rsid w:val="00CF3BF6"/>
    <w:rsid w:val="00CF3F81"/>
    <w:rsid w:val="00CF625B"/>
    <w:rsid w:val="00CF687E"/>
    <w:rsid w:val="00D01D7F"/>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A7C41"/>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1BCB"/>
    <w:rsid w:val="00E14837"/>
    <w:rsid w:val="00E17FA2"/>
    <w:rsid w:val="00E22330"/>
    <w:rsid w:val="00E274E8"/>
    <w:rsid w:val="00E30B5A"/>
    <w:rsid w:val="00E30D47"/>
    <w:rsid w:val="00E3123D"/>
    <w:rsid w:val="00E31461"/>
    <w:rsid w:val="00E31D43"/>
    <w:rsid w:val="00E32608"/>
    <w:rsid w:val="00E33497"/>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779B4"/>
    <w:rsid w:val="00E821D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3DB6"/>
    <w:rsid w:val="00EF5787"/>
    <w:rsid w:val="00EF60D0"/>
    <w:rsid w:val="00F00F62"/>
    <w:rsid w:val="00F01DB3"/>
    <w:rsid w:val="00F03DAF"/>
    <w:rsid w:val="00F05216"/>
    <w:rsid w:val="00F0528D"/>
    <w:rsid w:val="00F06C67"/>
    <w:rsid w:val="00F06DFD"/>
    <w:rsid w:val="00F071D1"/>
    <w:rsid w:val="00F07533"/>
    <w:rsid w:val="00F10629"/>
    <w:rsid w:val="00F13025"/>
    <w:rsid w:val="00F14111"/>
    <w:rsid w:val="00F15FA5"/>
    <w:rsid w:val="00F209B7"/>
    <w:rsid w:val="00F22355"/>
    <w:rsid w:val="00F2376F"/>
    <w:rsid w:val="00F243D8"/>
    <w:rsid w:val="00F27054"/>
    <w:rsid w:val="00F30828"/>
    <w:rsid w:val="00F313D6"/>
    <w:rsid w:val="00F40F0C"/>
    <w:rsid w:val="00F4766C"/>
    <w:rsid w:val="00F5060E"/>
    <w:rsid w:val="00F507D1"/>
    <w:rsid w:val="00F509AD"/>
    <w:rsid w:val="00F519CE"/>
    <w:rsid w:val="00F51ADA"/>
    <w:rsid w:val="00F53681"/>
    <w:rsid w:val="00F60203"/>
    <w:rsid w:val="00F607C5"/>
    <w:rsid w:val="00F60DEA"/>
    <w:rsid w:val="00F6302A"/>
    <w:rsid w:val="00F63950"/>
    <w:rsid w:val="00F64C2B"/>
    <w:rsid w:val="00F651BE"/>
    <w:rsid w:val="00F67F53"/>
    <w:rsid w:val="00F703BE"/>
    <w:rsid w:val="00F71C94"/>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B7577"/>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52D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F52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52D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AF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96B84-5522-4776-92CB-738B36572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2018-09-29T04:22:00Z</dcterms:created>
  <dcterms:modified xsi:type="dcterms:W3CDTF">2019-02-15T23:23:00Z</dcterms:modified>
  <cp:category/>
</cp:coreProperties>
</file>